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7363B" w14:textId="77777777" w:rsidR="00F83CF3" w:rsidRPr="00F83CF3" w:rsidRDefault="00F83CF3" w:rsidP="00F83CF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CC3300"/>
          <w:kern w:val="36"/>
          <w:sz w:val="28"/>
          <w:szCs w:val="28"/>
          <w:lang w:eastAsia="fr-BE"/>
        </w:rPr>
      </w:pPr>
      <w:r w:rsidRPr="00F83CF3">
        <w:rPr>
          <w:rFonts w:eastAsia="Times New Roman" w:cstheme="minorHAnsi"/>
          <w:b/>
          <w:bCs/>
          <w:color w:val="CC3300"/>
          <w:kern w:val="36"/>
          <w:sz w:val="28"/>
          <w:szCs w:val="28"/>
          <w:lang w:eastAsia="fr-BE"/>
        </w:rPr>
        <w:t>Métaux non-ferreux : le FMI peine à convaincre le marché</w:t>
      </w:r>
    </w:p>
    <w:p w14:paraId="7B687002" w14:textId="77777777" w:rsidR="00F83CF3" w:rsidRPr="00F83CF3" w:rsidRDefault="00F83CF3" w:rsidP="00F83CF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</w:pPr>
    </w:p>
    <w:p w14:paraId="435B5605" w14:textId="6727C2C8" w:rsidR="00F83CF3" w:rsidRPr="00F83CF3" w:rsidRDefault="00F83CF3" w:rsidP="00F83CF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F83CF3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Au cours de la semaine écoulée, calme et écourtée pour cause de long week-end pascal, les investisseurs n'ont pas eu beaucoup d'indicateurs économiques à se mettre sous la dent.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 Seul le Fonds monétaire international (FMI) est venu dynamiser les métaux industriels en révisant à la hausse ses prévisions de croissance pour la Chine en 2021 et relevant que le pays avait «</w:t>
      </w:r>
      <w:r w:rsidRPr="00F83CF3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 déjà retrouvé son niveau pré-pandémique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 » contrairement à beaucoup d'autres. Premier pays touché par le coronavirus qui avait paralysé son économie et plombé l'activité début 2020, le premier importateur mondial de matières premières a finalement enregistré une croissance positive l'an dernier (+2,3%). Cette année, la Chine devrait voir son produit intérieur brut (PIB) progresser de 8,4%, selon les prévisions du FMI, son rythme le plus rapide depuis 2011.</w:t>
      </w:r>
    </w:p>
    <w:p w14:paraId="21FFC5AD" w14:textId="77777777" w:rsidR="00F83CF3" w:rsidRPr="00F83CF3" w:rsidRDefault="00F83CF3" w:rsidP="00F83CF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Parallèlement, côté devises, le billet vert a enregistré sa plus mauvaise semaine de l’année, rendant les matières premières libellées en dollars moins onéreuses pour les détenteurs d’autres devises. La monnaie américaine a été soumise à rude épreuve après la publication d’indicateurs plus robustes que prévu en Europe, de chiffres de l’emploi décevants outre-Atlantique et les déclarations de la Fed qui a réaffirmé sa volonté de maintenir une politique monétaire accommodante.</w:t>
      </w:r>
    </w:p>
    <w:p w14:paraId="6C4F38BD" w14:textId="77777777" w:rsidR="00F83CF3" w:rsidRPr="00F83CF3" w:rsidRDefault="00F83CF3" w:rsidP="00F83CF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Dans ce contexte, le cours de l'</w:t>
      </w:r>
      <w:r w:rsidRPr="00F83CF3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aluminium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est le seul à s’être apprécié, titillant son précédent record du 26 mars lorsqu'il avait atteint 2.301 dollars la tonne sur le London </w:t>
      </w:r>
      <w:proofErr w:type="spellStart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Metal</w:t>
      </w:r>
      <w:proofErr w:type="spellEnd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Exchange (LME), une première depuis juin 2018.</w:t>
      </w:r>
    </w:p>
    <w:p w14:paraId="3640A206" w14:textId="77777777" w:rsidR="00F83CF3" w:rsidRPr="00F83CF3" w:rsidRDefault="00F83CF3" w:rsidP="00F83CF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Le </w:t>
      </w:r>
      <w:r w:rsidRPr="00F83CF3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cuivre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reste pour sa part clairement sous pression : les stocks sont effectivement orientés à la hausse un peu partout dans le monde — dans les entrepôts du LME, ils se sont hissés lundi à 165.625 tonnes, leur plus haut depuis le 11 novembre dernier, tandis que ceux conservés dans les magasins du </w:t>
      </w:r>
      <w:proofErr w:type="spellStart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ShFE</w:t>
      </w:r>
      <w:proofErr w:type="spellEnd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évoluent à un sommet de 11 mois. Surtout, les professionnels ont accueilli avec une certaine inquiétude les dernières annonces du Premier ministre chinois Li </w:t>
      </w:r>
      <w:proofErr w:type="spellStart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Keqiang</w:t>
      </w:r>
      <w:proofErr w:type="spellEnd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, qui a promis des mesures de régulation du marché plus strictes pour les matières premières.</w:t>
      </w:r>
    </w:p>
    <w:p w14:paraId="6894814A" w14:textId="77777777" w:rsidR="00F83CF3" w:rsidRPr="00F83CF3" w:rsidRDefault="00F83CF3" w:rsidP="00F83CF3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A l’inverse, la bonne nouvelle pour les cours du </w:t>
      </w:r>
      <w:r w:rsidRPr="00F83CF3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cuivre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c’est que les importations chinoises ont totalisé 1,44 million de tonnes au premier trimestre, un niveau en hausse de 11,9 % sur un an… Et qui n’avait plus été atteint depuis 2008, annonce-t-on chez Reuters. A 552.317 tonnes, ces importations ont bondi de 25 % en mars sur un an (441.926 tonnes en mars 2020). A noter que d’après le </w:t>
      </w:r>
      <w:proofErr w:type="spellStart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pdg</w:t>
      </w:r>
      <w:proofErr w:type="spellEnd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 </w:t>
      </w:r>
      <w:proofErr w:type="spellStart"/>
      <w:r w:rsidRPr="00F83CF3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Codelco</w:t>
      </w:r>
      <w:proofErr w:type="spellEnd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, les cours du cuivre devraient rester solides mais la propagation des nouveaux variants du coronavirus pourrait engendrer davantage de volatilité sur le marché. « </w:t>
      </w:r>
      <w:r w:rsidRPr="00F83CF3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Les cours du cuivre s’accrochent à la barre des 9.000 $/t, et pas à celle des 8.000 $, ce qui témoigne de sa robustesse 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», estime Pour sa part Guy Wolf, analyste pour </w:t>
      </w:r>
      <w:proofErr w:type="spellStart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Marex</w:t>
      </w:r>
      <w:proofErr w:type="spellEnd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Spectron</w:t>
      </w:r>
      <w:proofErr w:type="spellEnd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. « </w:t>
      </w:r>
      <w:r w:rsidRPr="00F83CF3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Les perspectives sont incertaines, le facteur clé est la vaccination contre la Covid-19. Le marché repartira quand celle-ci aura permis de stopper la propagation du virus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 », poursuit-il. Conséquence de ce manque de visibilité, le </w:t>
      </w:r>
      <w:r w:rsidRPr="00F83CF3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cuivre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 titillait le seuil des 8.800 dollars ce mardi matin, en baisse de près de 200 dollars sur une semaine. Le </w:t>
      </w:r>
      <w:r w:rsidRPr="00F83CF3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nickel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 abandonne pour sa part 400 dollars, à 16.135 dollars. Le </w:t>
      </w:r>
      <w:r w:rsidRPr="00F83CF3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zinc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 cède 100 dollars, à 2.737 dollars, tandis que l’</w:t>
      </w:r>
      <w:r w:rsidRPr="00F83CF3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étain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 en perd 350, à 25.550 dollars. Seul le </w:t>
      </w:r>
      <w:r w:rsidRPr="00F83CF3">
        <w:rPr>
          <w:rFonts w:eastAsia="Times New Roman" w:cstheme="minorHAnsi"/>
          <w:color w:val="000000"/>
          <w:sz w:val="24"/>
          <w:szCs w:val="24"/>
          <w:u w:val="single"/>
          <w:lang w:eastAsia="fr-BE"/>
        </w:rPr>
        <w:t>plomb</w:t>
      </w:r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s’en tire mieux, puisqu’il fait du </w:t>
      </w:r>
      <w:proofErr w:type="gramStart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quasi sur-place</w:t>
      </w:r>
      <w:proofErr w:type="gramEnd"/>
      <w:r w:rsidRPr="00F83CF3">
        <w:rPr>
          <w:rFonts w:eastAsia="Times New Roman" w:cstheme="minorHAnsi"/>
          <w:color w:val="000000"/>
          <w:sz w:val="24"/>
          <w:szCs w:val="24"/>
          <w:lang w:eastAsia="fr-BE"/>
        </w:rPr>
        <w:t>, à 1.955 dollars.</w:t>
      </w:r>
    </w:p>
    <w:p w14:paraId="3454B2B3" w14:textId="77777777" w:rsidR="009F2F7D" w:rsidRPr="00F83CF3" w:rsidRDefault="009F2F7D">
      <w:pPr>
        <w:rPr>
          <w:rFonts w:cstheme="minorHAnsi"/>
          <w:sz w:val="24"/>
          <w:szCs w:val="24"/>
        </w:rPr>
      </w:pPr>
    </w:p>
    <w:sectPr w:rsidR="009F2F7D" w:rsidRPr="00F8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F3"/>
    <w:rsid w:val="009F2F7D"/>
    <w:rsid w:val="00F8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3108"/>
  <w15:chartTrackingRefBased/>
  <w15:docId w15:val="{43F66E61-8D10-40BA-B1CD-09541E05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1</cp:revision>
  <dcterms:created xsi:type="dcterms:W3CDTF">2021-04-14T06:10:00Z</dcterms:created>
  <dcterms:modified xsi:type="dcterms:W3CDTF">2021-04-14T06:11:00Z</dcterms:modified>
</cp:coreProperties>
</file>